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"/>
        <w:tblW w:w="226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55"/>
        <w:gridCol w:w="4111"/>
        <w:gridCol w:w="108"/>
        <w:gridCol w:w="2516"/>
        <w:gridCol w:w="2693"/>
        <w:gridCol w:w="2479"/>
        <w:gridCol w:w="7654"/>
        <w:gridCol w:w="426"/>
      </w:tblGrid>
      <w:tr w:rsidR="009556DA" w:rsidRPr="00C44555" w:rsidTr="00A634D9">
        <w:trPr>
          <w:trHeight w:val="31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DC17B3" w:rsidP="00DC17B3">
            <w:pPr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Uaktualniona na lata 2017-2020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Strategia rozwoju</w:t>
            </w:r>
            <w:r>
              <w:rPr>
                <w:b/>
                <w:bCs/>
                <w:color w:val="000000"/>
                <w:lang w:val="pl-PL" w:eastAsia="pl-PL"/>
              </w:rPr>
              <w:br/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W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ydziału Podstaw Techniki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</w:tr>
      <w:tr w:rsidR="009556DA" w:rsidRPr="00C44555" w:rsidTr="003E0263">
        <w:trPr>
          <w:trHeight w:val="6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Strategiczne na Wydziale Podstaw Techniki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6DA" w:rsidRPr="00C44555" w:rsidRDefault="00332C2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cząstkowe i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stopień realizacji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Realizacja celów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Najważniejsze zadania służące realizacji celów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Czynniki ryzyka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</w:t>
            </w:r>
          </w:p>
        </w:tc>
      </w:tr>
      <w:tr w:rsidR="009556DA" w:rsidRPr="00C44555" w:rsidTr="003E0263">
        <w:trPr>
          <w:trHeight w:val="49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A634D9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Planowana </w:t>
            </w:r>
            <w:r w:rsidR="0074290D" w:rsidRPr="00C44555">
              <w:rPr>
                <w:color w:val="000000"/>
                <w:sz w:val="18"/>
                <w:szCs w:val="18"/>
                <w:lang w:val="pl-PL" w:eastAsia="pl-PL"/>
              </w:rPr>
              <w:t>minimalna wartość do osiągnię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Stopień realizacji 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</w:tr>
      <w:tr w:rsidR="009556DA" w:rsidRPr="00C44555" w:rsidTr="003E0263">
        <w:trPr>
          <w:trHeight w:val="2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A5E6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</w:tr>
      <w:tr w:rsidR="009556DA" w:rsidRPr="00C44555" w:rsidTr="003E0263">
        <w:trPr>
          <w:trHeight w:val="354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Kształcenie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1. Unowocześnianie programów nauczania, a w tym bazy laboratoryjnej zgodnie</w:t>
            </w:r>
            <w:r w:rsidR="008333D8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 Krajowymi Ramami Kwalifikacji.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2. Uruchamianie nowych kierunków studiów.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3. Tworzenie atrakcyjnych </w:t>
            </w:r>
            <w:r w:rsidR="001E473E" w:rsidRPr="00C44555">
              <w:rPr>
                <w:color w:val="000000"/>
                <w:sz w:val="18"/>
                <w:szCs w:val="18"/>
                <w:lang w:val="pl-PL" w:eastAsia="pl-PL"/>
              </w:rPr>
              <w:t>s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pecjalności.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5. Umiędzynarodowienie procesu dydaktycznego.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D8" w:rsidRPr="004F0E3B" w:rsidRDefault="008333D8" w:rsidP="008333D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1. wykorzystanie rezultatów badań naukowych do podnoszenia jakości i poziomu kształcenia studentów;</w:t>
            </w:r>
          </w:p>
          <w:p w:rsidR="008333D8" w:rsidRPr="004F0E3B" w:rsidRDefault="008333D8" w:rsidP="008333D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2. zwiększenie konkurencyjności oferty dydaktycznej Wydziału poprzez dostosowanie jej do potrzeb rynku pracy, z utrzymaniem wysokiego poziomu absolwentów, głównie poprzez modyfikacje programów nauczania na istniejących kierunkach i uruchamianie nowych specjalności;</w:t>
            </w:r>
          </w:p>
          <w:p w:rsidR="009556DA" w:rsidRPr="004F0E3B" w:rsidRDefault="008333D8" w:rsidP="008333D8">
            <w:pPr>
              <w:rPr>
                <w:color w:val="191919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3. systematyczne tworzenie i wdrażanie systemu e-learningu na Wydziale</w:t>
            </w:r>
          </w:p>
          <w:p w:rsidR="008333D8" w:rsidRPr="00C44555" w:rsidRDefault="008333D8" w:rsidP="008333D8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4F0E3B">
              <w:rPr>
                <w:color w:val="191919"/>
                <w:sz w:val="18"/>
                <w:szCs w:val="18"/>
                <w:lang w:val="pl-PL" w:eastAsia="pl-PL"/>
              </w:rPr>
              <w:t>4. rozwijanie i pielęgnowanie poczucia wspólnoty akademickiej studentów, pracowników i absolwentów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55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liczby studentów na kierunkach </w:t>
            </w:r>
          </w:p>
          <w:p w:rsidR="004A0C55" w:rsidRPr="00C44555" w:rsidRDefault="004A0C5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C17B3" w:rsidRDefault="009556DA" w:rsidP="001E473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DC17B3">
              <w:rPr>
                <w:color w:val="000000"/>
                <w:sz w:val="18"/>
                <w:szCs w:val="18"/>
                <w:lang w:val="en-US" w:eastAsia="pl-PL"/>
              </w:rPr>
              <w:t>ETI</w:t>
            </w:r>
            <w:r w:rsidR="00DC17B3" w:rsidRPr="00DC17B3">
              <w:rPr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="00DC17B3" w:rsidRPr="00DC17B3">
              <w:rPr>
                <w:color w:val="000000"/>
                <w:sz w:val="18"/>
                <w:szCs w:val="18"/>
                <w:lang w:val="en-US" w:eastAsia="pl-PL"/>
              </w:rPr>
              <w:t>st.</w:t>
            </w:r>
            <w:proofErr w:type="spellEnd"/>
            <w:r w:rsidRPr="00DC17B3">
              <w:rPr>
                <w:color w:val="000000"/>
                <w:sz w:val="18"/>
                <w:szCs w:val="18"/>
                <w:lang w:val="en-US" w:eastAsia="pl-PL"/>
              </w:rPr>
              <w:t xml:space="preserve"> - 60,</w:t>
            </w:r>
          </w:p>
          <w:p w:rsidR="004A0C55" w:rsidRPr="00DC17B3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DC17B3">
              <w:rPr>
                <w:color w:val="000000"/>
                <w:sz w:val="18"/>
                <w:szCs w:val="18"/>
                <w:lang w:val="pl-PL" w:eastAsia="pl-PL"/>
              </w:rPr>
              <w:t>ETI II</w:t>
            </w:r>
            <w:r w:rsidR="00DC17B3" w:rsidRPr="00DC17B3">
              <w:rPr>
                <w:color w:val="000000"/>
                <w:sz w:val="18"/>
                <w:szCs w:val="18"/>
                <w:lang w:val="pl-PL" w:eastAsia="pl-PL"/>
              </w:rPr>
              <w:t xml:space="preserve"> st.</w:t>
            </w:r>
            <w:r w:rsidRPr="00DC17B3">
              <w:rPr>
                <w:color w:val="000000"/>
                <w:sz w:val="18"/>
                <w:szCs w:val="18"/>
                <w:lang w:val="pl-PL" w:eastAsia="pl-PL"/>
              </w:rPr>
              <w:t xml:space="preserve"> - 30, </w:t>
            </w:r>
          </w:p>
          <w:p w:rsidR="004A0C55" w:rsidRPr="00DC17B3" w:rsidRDefault="004A0C5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C17B3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Matematyka I</w:t>
            </w:r>
            <w:r w:rsidR="00DC17B3">
              <w:rPr>
                <w:color w:val="000000"/>
                <w:sz w:val="18"/>
                <w:szCs w:val="18"/>
                <w:lang w:val="pl-PL" w:eastAsia="pl-PL"/>
              </w:rPr>
              <w:t xml:space="preserve"> st.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-30; </w:t>
            </w:r>
          </w:p>
          <w:p w:rsidR="009556DA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Matematyka II </w:t>
            </w:r>
            <w:r w:rsidR="00DC17B3">
              <w:rPr>
                <w:color w:val="000000"/>
                <w:sz w:val="18"/>
                <w:szCs w:val="18"/>
                <w:lang w:val="pl-PL" w:eastAsia="pl-PL"/>
              </w:rPr>
              <w:t xml:space="preserve">st.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- 30 </w:t>
            </w:r>
          </w:p>
          <w:p w:rsidR="00DC17B3" w:rsidRDefault="00DC17B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C17B3" w:rsidRPr="00C44555" w:rsidRDefault="00DC17B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IB I st. - 30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sz w:val="18"/>
                <w:szCs w:val="18"/>
                <w:lang w:val="pl-PL"/>
              </w:rPr>
            </w:pPr>
            <w:r w:rsidRPr="00C44555">
              <w:rPr>
                <w:sz w:val="18"/>
                <w:szCs w:val="18"/>
              </w:rPr>
              <w:t>Rekrutacja grupy studentów z Ukrainy  - 14 osób</w:t>
            </w:r>
          </w:p>
          <w:p w:rsidR="001E473E" w:rsidRPr="00C44555" w:rsidRDefault="001E473E" w:rsidP="001E473E">
            <w:pPr>
              <w:rPr>
                <w:sz w:val="18"/>
                <w:szCs w:val="18"/>
                <w:lang w:val="pl-PL"/>
              </w:rPr>
            </w:pPr>
          </w:p>
          <w:p w:rsidR="009556DA" w:rsidRPr="00C44555" w:rsidRDefault="009556DA" w:rsidP="001E473E">
            <w:pPr>
              <w:rPr>
                <w:sz w:val="18"/>
                <w:szCs w:val="18"/>
                <w:lang w:val="pl-PL"/>
              </w:rPr>
            </w:pPr>
            <w:r w:rsidRPr="00C44555">
              <w:rPr>
                <w:sz w:val="18"/>
                <w:szCs w:val="18"/>
              </w:rPr>
              <w:t xml:space="preserve"> bieżąca wymiana studentów LLP Erasmus +  (Turcja/Hiszpania/)</w:t>
            </w:r>
          </w:p>
          <w:p w:rsidR="001E473E" w:rsidRPr="00C44555" w:rsidRDefault="001E473E" w:rsidP="001E473E">
            <w:pPr>
              <w:rPr>
                <w:sz w:val="18"/>
                <w:szCs w:val="18"/>
                <w:lang w:val="pl-PL"/>
              </w:rPr>
            </w:pPr>
          </w:p>
          <w:p w:rsidR="009556DA" w:rsidRPr="00C44555" w:rsidRDefault="009556DA" w:rsidP="001E473E">
            <w:pPr>
              <w:rPr>
                <w:sz w:val="18"/>
                <w:szCs w:val="18"/>
              </w:rPr>
            </w:pPr>
            <w:r w:rsidRPr="00C44555">
              <w:rPr>
                <w:sz w:val="18"/>
                <w:szCs w:val="18"/>
              </w:rPr>
              <w:t>rekrutacja studentów z kartą Polaka</w:t>
            </w: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1.Promocja WPT – współpraca ze szkołami w celu promocji Wydziału.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 Międzynarodowa promocja Wydziału 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Intensyfikacja działalności istniej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ących naukowych kół studenckich i zakładanie nowych.</w:t>
            </w:r>
          </w:p>
          <w:p w:rsidR="008333D8" w:rsidRPr="00C44555" w:rsidRDefault="008333D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333D8" w:rsidRPr="00C44555" w:rsidRDefault="008333D8" w:rsidP="004F0E3B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4. Funkcjonowanie zespoł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 xml:space="preserve">ów opiniujących i opiniująco-doradczych na prowadzonych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kierun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kach.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1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dotacja na działalność dydaktyczną ograniczająca wartość środków finansowych na wdrożenie systemu zapewnienia jakości kształcenia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w programach studiów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nadmierne i nierównomierne obciążenie pracowników pracą dydaktyczną i organizacyjną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nadzoru nad osobami z zewnątrz realizującymi zajęcia dydaktyczne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zbyt małe zaangażowanie pracowników do pracy w organach kolegialnych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pracowników naukowo - dydaktycznych w zakresie standardów jakości kształcenia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narzędzi dydaktycznych uniemożliwiające realizację zajęć na konkurencyjnym poziomie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niektórych jednostek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płace nauczycieli akademickich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kształcenie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wynagradzania pracowników za zdobywanie dodatkowych kwalifikacji zawodowych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aktywność pracowników w zakresie opracowywania projektów dotyczących kształcenia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własnej kadry dydaktycznej dla obsługi kierunków i specjalności dostosowanych do potrzeb rynku pracy, zatrudnienie specjalistów z zewnątrz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odpowiedniej infrastruktury i narzędzi dydaktycznych do  prowadzenia specjalistycznych zajęć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zasobów bibliotecznych i infrastruktury informatycznej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informacja zwrotna o potrzebach na  rynku pracy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niż demograficzny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rynku szkół wyższych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współpracy z lokalnymi firmami w zakresie kierunkowych praktyk i staży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udział pracodawców w opracowywaniu programów zajęć oraz w formułowaniu tematów prac inżynierskich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uprawnień jednostek lub utrata posiadanych uprawnień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znajomość języków obcych przez pracowników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brak  uregulowań odnośnie uznawania ECTS z zagranicy  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ograniczona liczba przedmiotów prowadzona w języku obcym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wspólnych zajęć  dla studentów zagranicznych  i polskich po angielsku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przepisów i kształcenia w jęz. angielskim w zakresie BHP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zatrudnienie pracowników o odpowiednich kwalifikacjach naukowych i zawodowych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uznawania kwalifikacji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płatne studia na drugim kierunku</w:t>
            </w:r>
          </w:p>
          <w:p w:rsidR="00341829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płatne kursy umożliwiające podniesienie kwalifikacji zawodowych dla studentów </w:t>
            </w:r>
          </w:p>
          <w:p w:rsidR="00E01577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spadający popyt na usługi edukacyjno - szkoleniowe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studenckiej oraz niska liczba zgłaszanych inicjatyw ze strony kół naukowych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przepisy i procedury wewnętrzne (nie zweryfikowane w praktyce)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zainteresowania studentów zgłaszanymi aktywnościami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infrastruktury lokalowej dla prowadzenia aktywności akademickiej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motywacja pracowników naukowo - dydaktycznych do wspierania aktywności studenckiej (opiekunowie Kół Naukowych)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doktoranckiej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nieterminowość wypłaty świadczeń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zmieniające się i niejasne przepisy w zakresie pomocy materialnej dla studentów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stypendia naukowe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umorzenia odpłatności za czesne i punkty ECTS (niebezpieczeństwo zbyt dużej liczby przyznanych odpłatności ratalnych dla studentów)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dostosowania infrastruktury do potrzeb osób niepełnosprawnych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społeczności akademickiej w zakresie potrzeb osób niepełnosprawnych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90188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341829" w:rsidRPr="00C44555" w:rsidRDefault="0034182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6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Nauka i komercjalizacja badań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wzmocnienie potencjału naukowo-dydaktycznego Wydziału poprzez 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1. stymulację rozwoju własnej kadry oraz pozyskanie kadry spoza uczelni;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2. wzrost finansowania ze źródeł zewnętrznych;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3. zwiększenie liczby pracowników naukowo-dydaktycznych z tytułem profesora i ze stopniem doktora habilitowanego, 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3. </w:t>
            </w:r>
            <w:r w:rsidR="00332C2C" w:rsidRPr="00906DBB">
              <w:rPr>
                <w:color w:val="191919"/>
                <w:sz w:val="18"/>
                <w:szCs w:val="18"/>
                <w:lang w:val="pl-PL" w:eastAsia="pl-PL"/>
              </w:rPr>
              <w:t>koncentrację</w:t>
            </w:r>
            <w:r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 badań na obszarach priorytetowych</w:t>
            </w:r>
          </w:p>
          <w:p w:rsidR="00332C2C" w:rsidRPr="00906DBB" w:rsidRDefault="00332C2C" w:rsidP="00332C2C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lastRenderedPageBreak/>
              <w:t>4. tworzenie  interdyscyplinarnych zespołów badawczych współpracujących w skali regionalnej,</w:t>
            </w:r>
            <w:r w:rsidR="00E86D25" w:rsidRPr="00906DBB">
              <w:rPr>
                <w:color w:val="191919"/>
                <w:sz w:val="18"/>
                <w:szCs w:val="18"/>
                <w:lang w:val="pl-PL" w:eastAsia="pl-PL"/>
              </w:rPr>
              <w:t xml:space="preserve"> </w:t>
            </w:r>
            <w:r w:rsidRPr="00906DBB">
              <w:rPr>
                <w:color w:val="191919"/>
                <w:sz w:val="18"/>
                <w:szCs w:val="18"/>
                <w:lang w:val="pl-PL" w:eastAsia="pl-PL"/>
              </w:rPr>
              <w:t>krajowej oraz międzynarodowej;</w:t>
            </w:r>
          </w:p>
          <w:p w:rsidR="00332C2C" w:rsidRPr="00906DBB" w:rsidRDefault="00332C2C" w:rsidP="00332C2C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906DBB">
              <w:rPr>
                <w:color w:val="191919"/>
                <w:sz w:val="18"/>
                <w:szCs w:val="18"/>
                <w:lang w:val="pl-PL" w:eastAsia="pl-PL"/>
              </w:rPr>
              <w:t>5 rozbudowa bazy naukowo-badawczej oraz tworzenie laboratoriów naukowych, realizujących badania na potrzeby nauki i przemysłu oraz urzędów</w:t>
            </w:r>
          </w:p>
          <w:p w:rsidR="006A2F8A" w:rsidRPr="00906DBB" w:rsidRDefault="006A2F8A" w:rsidP="006A2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1.Rozszerzanie współpracy i wymiany międzynarodowej, w szczególności współpracy z Ukrainą w zakresie przyjmowania</w:t>
            </w:r>
            <w:r w:rsidR="00906DBB">
              <w:rPr>
                <w:color w:val="000000"/>
                <w:sz w:val="18"/>
                <w:szCs w:val="18"/>
                <w:lang w:val="pl-PL" w:eastAsia="pl-PL"/>
              </w:rPr>
              <w:t xml:space="preserve"> studentów (na poziomie grupy 14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os./semestr) oraz profesorów zagranicznych, co powinno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wpłynąć na poprawę sytuacji finansowej.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2. Przeprowadzanie wspólnie ze s</w:t>
            </w:r>
            <w:r w:rsidR="00906DBB">
              <w:rPr>
                <w:color w:val="000000"/>
                <w:sz w:val="18"/>
                <w:szCs w:val="18"/>
                <w:lang w:val="pl-PL" w:eastAsia="pl-PL"/>
              </w:rPr>
              <w:t xml:space="preserve">tudentami konferencji naukowych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i wypracowywanie mechanizmów dla organizowania konferencji cyklicznych (1/rok).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3. utrzymanie wskaźnika punktowego POLON na poziomie 40, 4.promocja kadry pracowników samodzielnych, zatrudnianie w wyniku awansu oraz </w:t>
            </w:r>
            <w:r w:rsidR="004149C6" w:rsidRPr="00C44555">
              <w:rPr>
                <w:color w:val="000000"/>
                <w:sz w:val="18"/>
                <w:szCs w:val="18"/>
                <w:lang w:val="pl-PL" w:eastAsia="pl-PL"/>
              </w:rPr>
              <w:t>konkursów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otwartych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1 Konferencja naukowa przeprowadzona wspólnie ze studentami, w 2019r. planach kolejna konferencja naukowa przeprowadzona wspólnie z Urzędem Dozoru Technicznego,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Zatrudnionych 2 profesorów zagranicznych,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2 nowe koła naukowe funkcjonujące na Wydziale,</w:t>
            </w: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4149C6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Utrzymanie wskaźnika POLON na poziomie 40,4 – kategoria naukowa B</w:t>
            </w:r>
          </w:p>
          <w:p w:rsidR="004149C6" w:rsidRPr="00C44555" w:rsidRDefault="004149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1.rozwój bazy laboratoryjnej,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Promowanie i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 xml:space="preserve"> pomoc w rozwoju kadry Wydziału,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Rozszerzanie zakresu prowadz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>onej działalności publikacyjnej,</w:t>
            </w: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4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Inspirowanie aktywności pracowników w zakresie aplikowania o granty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Ukierunkowanie działalności publikacyjnej pracowników na wydawnictwa indeksowane.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Promowanie rozwoju myśli racjonalizatorskiej związanej ze zgłaszaniem patentów.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7.uczestnictwo w uczelnianym programie komercjalizacji badań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silna konkurencja o środki finansowe na działalność naukową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dyscyplin naukowych  w niektórych obszarach działalności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zasad oceny działalności naukowej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mało atrakcyjny system i poziom wynagrodzeń dla pracowników o nieprzeciętnych zdolnościach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działalność naukową</w:t>
            </w:r>
          </w:p>
          <w:p w:rsidR="009556DA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obawy pracowników o stabilność zatrudnienia w warunkach  wprowadzenia systemu oceny jakości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kryteriów oceny publikacji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kategorii wydziałów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spadek wartości pozabudżetowych źródeł finansowania badań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uzależnienie poziomu finansowania prac naukowo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br/>
              <w:t>-badawczych od kategorii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 zasad finansowania prac badawczo - rozwojowych ze środków krajowych i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zewnętrznymi źródłami finansowania spowodowane obawą przed nadmierną biurokracją na etapie aplikacji i w późniejszym rozliczeniu projektu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wymiana doświadczeń wśród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 wsparcie instytucjonalne (szkolenia, pomoc pracowników administracji)  pracowników naukowych nieposiadających doświadczenia w zakresie pozyskiwania źródeł finansowania działalności badawczej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z zabezpieczeniem wkładu własnego w projektach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system wewnętrznej informacji o realizowanych badaniach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pracowników o odpowiednim doświadczeniu w zakresie badań interdyscyplinarnych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współpraca z innymi uczelniami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bariera językowa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uregulowań prawnych przez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pozycja uczelni w rankingach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mobilność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funduszu na sfinansowanie przyjazdu wizytującego pracownika naukowego z zagranicy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funduszy na wyjazdy pracowników (wizyty studyjne, nawiązywanie kontaktów)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systemów komercjalizacji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adaptacji wdrażanego systemu do ciągle zmieniających się przepisów prawa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silna konkurencja krajowych i zagranicznych ośrodków badawczych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rozbieżność między potrzebami badawczymi i badawczo - rozwojowymi środowiska biznesowego a możliwościami technicznymi Politechniki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komunikacji z otoczeniem biznesowym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kary i straty za niedotrzymanie np. terminów wykonania badań</w:t>
            </w:r>
          </w:p>
          <w:p w:rsidR="007662A5" w:rsidRPr="00C44555" w:rsidRDefault="007662A5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ochronie wyników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silnych ośrodków badawczych i badawczo - rozwojowych krajowych i zagranicznych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komercjalizacją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kontakty z przedsiębiorcami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662A5" w:rsidRPr="00C44555" w:rsidRDefault="007662A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</w:tr>
      <w:tr w:rsidR="009556DA" w:rsidRPr="00C44555" w:rsidTr="003E0263">
        <w:trPr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Finanse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AB4583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AB4583" w:rsidRDefault="00AB4583" w:rsidP="00AB4583">
            <w:pPr>
              <w:pStyle w:val="Akapitzlist"/>
              <w:numPr>
                <w:ilvl w:val="0"/>
                <w:numId w:val="10"/>
              </w:numPr>
              <w:ind w:left="151" w:hanging="151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p</w:t>
            </w:r>
            <w:r w:rsidR="009556DA" w:rsidRPr="00AB4583">
              <w:rPr>
                <w:color w:val="000000"/>
                <w:sz w:val="18"/>
                <w:szCs w:val="18"/>
                <w:lang w:val="pl-PL" w:eastAsia="pl-PL"/>
              </w:rPr>
              <w:t>rzychody Wydziału pozwalające na dodatni bilans finansowy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2.zapewnienie stabilnej sytuacji finansowej pozwalającej na wstępne planowanie działań z długim</w:t>
            </w:r>
          </w:p>
          <w:p w:rsidR="006B07D7" w:rsidRPr="00AB4583" w:rsidRDefault="00AB4583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>
              <w:rPr>
                <w:color w:val="191919"/>
                <w:sz w:val="18"/>
                <w:szCs w:val="18"/>
                <w:lang w:val="pl-PL" w:eastAsia="pl-PL"/>
              </w:rPr>
              <w:t>Wyprzedzeniem,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 xml:space="preserve">·3.stworzenie spójnego systemu nagradzania pracowników za 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efekty w działalności zawodowej,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4. uwzględnienie w polityce finansowej Wydziału wspierania rozwoju zawodowego młodych pracowników i działal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ności studenckich kół naukowych,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5. obniżenie kosztów działalności admi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nistracyjnej,</w:t>
            </w:r>
          </w:p>
          <w:p w:rsidR="006B07D7" w:rsidRPr="00AB4583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>6. zwiększenie efektywności finansowej zajęć z za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chowaniem ich wysokiego poziomu,</w:t>
            </w:r>
          </w:p>
          <w:p w:rsidR="006B07D7" w:rsidRPr="00C44555" w:rsidRDefault="006B07D7" w:rsidP="006B07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  <w:r w:rsidRPr="00AB4583">
              <w:rPr>
                <w:color w:val="191919"/>
                <w:sz w:val="18"/>
                <w:szCs w:val="18"/>
                <w:lang w:val="pl-PL" w:eastAsia="pl-PL"/>
              </w:rPr>
              <w:t xml:space="preserve">7.podniesienie przychodów Wydziału z działalności dydaktycznej wynikającej z prowadzenia studiów dla studentów zagranicznych, </w:t>
            </w:r>
            <w:r w:rsidR="00AB4583">
              <w:rPr>
                <w:color w:val="191919"/>
                <w:sz w:val="18"/>
                <w:szCs w:val="18"/>
                <w:lang w:val="pl-PL" w:eastAsia="pl-PL"/>
              </w:rPr>
              <w:t>podyplomowych, szkoleń i kursów.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bilansu finansowego na poziomie równowagi pomiędzy przychodami a kosztami pracy Wydziału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+/- 10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tys.zł</w:t>
            </w:r>
            <w:proofErr w:type="spellEnd"/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realizacja zadań badawczych z roku poprzedzającego,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dyscyplina kosztów planowanych</w:t>
            </w:r>
            <w:r w:rsidR="00B73071">
              <w:rPr>
                <w:color w:val="000000"/>
                <w:sz w:val="18"/>
                <w:szCs w:val="18"/>
                <w:lang w:val="pl-PL" w:eastAsia="pl-PL"/>
              </w:rPr>
              <w:t>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wskaźnika koszto</w:t>
            </w:r>
            <w:r w:rsidR="001E473E" w:rsidRPr="00C44555">
              <w:rPr>
                <w:color w:val="000000"/>
                <w:sz w:val="18"/>
                <w:szCs w:val="18"/>
                <w:lang w:val="pl-PL" w:eastAsia="pl-PL"/>
              </w:rPr>
              <w:t>chłonności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na poziomie poniżej 6 tys.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raportów okresowych przez poszczególne jednostki organizacyjne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niedoszacowanie kosztów w budżetach jednostek</w:t>
            </w:r>
          </w:p>
          <w:p w:rsidR="00B44D7B" w:rsidRPr="00C44555" w:rsidRDefault="00883E66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znajomoś</w:t>
            </w:r>
            <w:r w:rsidR="00B44D7B" w:rsidRPr="00C44555">
              <w:rPr>
                <w:color w:val="000000"/>
                <w:sz w:val="18"/>
                <w:szCs w:val="18"/>
                <w:lang w:val="pl-PL" w:eastAsia="pl-PL"/>
              </w:rPr>
              <w:t>ć zasad finansowania uczelni przez pracowników naukowych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nierealne założenia dotyczące planowanych przychodów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dotacji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niski poziom integracji systemu informatycznego w obszarze zarządzania finansami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uczelnii</w:t>
            </w:r>
            <w:proofErr w:type="spellEnd"/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pełnego pokrycia kosztów działalności dydaktycznej ze środków budżetowych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 liczbie i strukturze studentów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struktury kosztów (wysoki poziom kosztów stałych)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(niedopasowane) procedury kontroli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stosowanie przyrostowych metod planowania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standardów kształcenia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form zatrudnienia pracowników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cen materiałów i usług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kosztów spowodowany zmianą regulacji prawnych w szkolnictwie wyższym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nietrafiona promocja oferty dydaktycznej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ze strony innych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regionu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utrata źródeł przychodów w wyniku zbyt małej rekrutacji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zabezpieczenia ryzyka nieuzyskania zapłaty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 dotyczące darowizn i sponsoringu.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zaangażowanie pracowników w nowe inicjatywy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kwalifikacje pracownika w zakresie wykonywanej analizy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doświadczenia w obszarze analiz strategicznych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długoterminowego planowania finansowego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i umowne w wykorzystaniu  majątku zakupionego z projektów do celów dydaktycznych i zarobkowych</w:t>
            </w:r>
          </w:p>
          <w:p w:rsidR="00CA31CC" w:rsidRPr="00C44555" w:rsidRDefault="00CA31CC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wystarczająco dobrze działającego systemu rozliczeń międzywydziałowych dotyczących podziału środków z programów międzynarodowych (Erasmus)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B44D7B" w:rsidRPr="00C44555" w:rsidRDefault="003F6E0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6A2F8A" w:rsidRPr="00C44555" w:rsidRDefault="006A2F8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1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Obszary działalności Uczelni+B22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Obszar dostosowania bazy dydaktycznej do nowych wymagań,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2.Obszar rozwoju technologii informatycznej WPT 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kompleksowa modernizacja 2 stanowisk rocznie,                </w:t>
            </w:r>
          </w:p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2.procent pokrycia zapotrzebowania na dostęp do stanowisk bezprzewodowych,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 Wypracowanie mechanizmów finansowania remontów bazy lokalowej Wydziału na poziomie 20% powierzchni rocznie.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Dostęp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eduroam</w:t>
            </w:r>
            <w:proofErr w:type="spellEnd"/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Sukcesywne zakupy sprzętu komputerowego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zakupy i instalacja sprzętu,  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2. zapewnienie dostępu bezprzewodowego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522F6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dostęp do baz przez bibliotekę PL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bieżące finansowanie nakładów inwestycyjnych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niedoszacowana wartość projektu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realiz</w:t>
            </w:r>
            <w:r w:rsidR="0057181A" w:rsidRPr="00C44555">
              <w:rPr>
                <w:color w:val="000000"/>
                <w:sz w:val="18"/>
                <w:szCs w:val="18"/>
                <w:lang w:val="pl-PL" w:eastAsia="pl-PL"/>
              </w:rPr>
              <w:t>a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cji projektu wynikające z winy głównego wykonawcy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błędy w projektach</w:t>
            </w:r>
          </w:p>
          <w:p w:rsidR="005B4CA6" w:rsidRPr="00C44555" w:rsidRDefault="0057181A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wynikające</w:t>
            </w:r>
            <w:r w:rsidR="005B4CA6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z ustawy Prawo Zamówień Publicznych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warunków rynkowych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planowaniu przychodów i kosztów związanych z inwestycjami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trudność w określeniu okresu przydatności ekonomicznej narzędzi badawczych i dydaktycznych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etapie aplikacji o zewnętrzne źródła finansowania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strategii rozwoju poszczególnych wydziałów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3917E1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Zarządzanie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B73071" w:rsidRDefault="009556DA" w:rsidP="006B07D7">
            <w:pPr>
              <w:pStyle w:val="Akapitzlist"/>
              <w:numPr>
                <w:ilvl w:val="0"/>
                <w:numId w:val="8"/>
              </w:numPr>
              <w:ind w:left="355"/>
              <w:rPr>
                <w:color w:val="000000"/>
                <w:sz w:val="18"/>
                <w:szCs w:val="18"/>
                <w:lang w:val="pl-PL" w:eastAsia="pl-PL"/>
              </w:rPr>
            </w:pPr>
            <w:r w:rsidRPr="00B73071">
              <w:rPr>
                <w:color w:val="000000"/>
                <w:sz w:val="18"/>
                <w:szCs w:val="18"/>
                <w:lang w:val="pl-PL" w:eastAsia="pl-PL"/>
              </w:rPr>
              <w:t>Kreowanie wizerunku Wydziału</w:t>
            </w:r>
          </w:p>
          <w:p w:rsidR="006B07D7" w:rsidRPr="00B73071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B73071">
              <w:rPr>
                <w:color w:val="000000"/>
                <w:sz w:val="18"/>
                <w:szCs w:val="18"/>
                <w:lang w:val="pl-PL" w:eastAsia="pl-PL"/>
              </w:rPr>
              <w:t>2.</w:t>
            </w:r>
            <w:r w:rsidRPr="00B73071">
              <w:rPr>
                <w:color w:val="191919"/>
                <w:sz w:val="18"/>
                <w:szCs w:val="18"/>
                <w:lang w:val="pl-PL" w:eastAsia="pl-PL"/>
              </w:rPr>
              <w:t>dążenie do usprawnienia obsługi studentów, projektów badawczych, edukacyjnych i inwestycyjnych, działalności administracji Wydziału;</w:t>
            </w:r>
          </w:p>
          <w:p w:rsidR="006B07D7" w:rsidRPr="00B73071" w:rsidRDefault="006B07D7" w:rsidP="006B07D7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  <w:lang w:val="pl-PL" w:eastAsia="pl-PL"/>
              </w:rPr>
            </w:pPr>
            <w:r w:rsidRPr="00B73071">
              <w:rPr>
                <w:color w:val="191919"/>
                <w:sz w:val="18"/>
                <w:szCs w:val="18"/>
                <w:lang w:val="pl-PL" w:eastAsia="pl-PL"/>
              </w:rPr>
              <w:t>3.działania na rzecz dalszego wdrożenia systemu zarządzania jakością kształcenia na Wydziale, tak aby uzyskać wzrost zadowolenia studentów i pracowników wzbudzając w nich poczucie więzi oraz współodpowiedzialności za podnoszenie jakości kształcenia;</w:t>
            </w:r>
          </w:p>
          <w:p w:rsidR="006B07D7" w:rsidRPr="00C44555" w:rsidRDefault="006B07D7" w:rsidP="006B07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l-PL" w:eastAsia="pl-PL"/>
              </w:rPr>
            </w:pPr>
            <w:r w:rsidRPr="00B73071">
              <w:rPr>
                <w:color w:val="191919"/>
                <w:sz w:val="18"/>
                <w:szCs w:val="18"/>
                <w:lang w:val="pl-PL" w:eastAsia="pl-PL"/>
              </w:rPr>
              <w:t>4. poprawa efektywności eksploatacji budynków poprzez wdrażanie technolo</w:t>
            </w:r>
            <w:bookmarkStart w:id="0" w:name="_GoBack"/>
            <w:bookmarkEnd w:id="0"/>
            <w:r w:rsidRPr="00B73071">
              <w:rPr>
                <w:color w:val="191919"/>
                <w:sz w:val="18"/>
                <w:szCs w:val="18"/>
                <w:lang w:val="pl-PL" w:eastAsia="pl-PL"/>
              </w:rPr>
              <w:t>gii energooszczędnych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poziomu 3,65 średniej oceny pracowników dydaktycznych w ocenie studentów</w:t>
            </w: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kategorii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Utrzymanie </w:t>
            </w:r>
            <w:proofErr w:type="spellStart"/>
            <w:r w:rsidRPr="00C44555">
              <w:rPr>
                <w:color w:val="000000"/>
                <w:sz w:val="18"/>
                <w:szCs w:val="18"/>
                <w:lang w:val="pl-PL" w:eastAsia="pl-PL"/>
              </w:rPr>
              <w:t>kat.B</w:t>
            </w:r>
            <w:proofErr w:type="spellEnd"/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Pozytywny wizerunek WPT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ankietyzacja studentów</w:t>
            </w: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system POLON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4F0FE3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przepływ informacji  pomiędzy poszczególnymi szczeblami zarządzania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uregulowań wewnętrznych w niektórych obszarach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wewnętrznych aktów prawnych  przez pracowników PL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obszarów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bezrobocie w regionie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krytyczne wypowiedzi publiczne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działania konkurencji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zrozumienia wydziałów dla korporacyjnego charakteru działań promocyjnych uczelni (brak współpracy na poziomie operacyjnym)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uzależnienie środków na promocję oferty edukacyjnej uczelniod wysokości przychodów z tytułu opłat rekrutacyjnych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imprezy wydziałowe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łatwa dostępność do obiektów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ograniczony czas pracy zewnętrznych firm ochroniarskich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technologii informacyjnej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polityki bezpieczeństwa informacji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ataki i włamania do sieci Politechniki Lubelskiej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zaplecze sprzętowe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ochrona prawna zasobów intelektualnych Politechniki Lubelskiej</w:t>
            </w:r>
          </w:p>
          <w:p w:rsidR="009B6D7D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dosyć długi czas uzyskiwania ochrony intelektualnej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słabe zainteresowanie pracowników uzyskaniem zasobów intelektualnych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małe doświadczenie w komercjalizacji badań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4F0FE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</w:tr>
    </w:tbl>
    <w:p w:rsidR="00EA52DD" w:rsidRDefault="00EA52DD" w:rsidP="001E473E">
      <w:pPr>
        <w:rPr>
          <w:sz w:val="18"/>
          <w:szCs w:val="18"/>
          <w:lang w:val="pl-PL"/>
        </w:rPr>
      </w:pPr>
    </w:p>
    <w:sectPr w:rsidR="00EA52DD" w:rsidSect="00183EF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183"/>
    <w:multiLevelType w:val="hybridMultilevel"/>
    <w:tmpl w:val="BEF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1E1"/>
    <w:multiLevelType w:val="hybridMultilevel"/>
    <w:tmpl w:val="4EF8F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9F1"/>
    <w:multiLevelType w:val="hybridMultilevel"/>
    <w:tmpl w:val="8788F34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30B13F48"/>
    <w:multiLevelType w:val="hybridMultilevel"/>
    <w:tmpl w:val="0226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6CD6"/>
    <w:multiLevelType w:val="hybridMultilevel"/>
    <w:tmpl w:val="20A8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633"/>
    <w:multiLevelType w:val="hybridMultilevel"/>
    <w:tmpl w:val="8A9E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260"/>
    <w:multiLevelType w:val="hybridMultilevel"/>
    <w:tmpl w:val="7FDA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A48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4BE5"/>
    <w:multiLevelType w:val="hybridMultilevel"/>
    <w:tmpl w:val="CE6E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1770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7"/>
    <w:rsid w:val="000279C4"/>
    <w:rsid w:val="000418A2"/>
    <w:rsid w:val="00044BCD"/>
    <w:rsid w:val="00066E99"/>
    <w:rsid w:val="00087DD7"/>
    <w:rsid w:val="000B022C"/>
    <w:rsid w:val="000C27C6"/>
    <w:rsid w:val="000E75EC"/>
    <w:rsid w:val="000F11B8"/>
    <w:rsid w:val="001417F7"/>
    <w:rsid w:val="00183EFF"/>
    <w:rsid w:val="0019190D"/>
    <w:rsid w:val="001B34A1"/>
    <w:rsid w:val="001C7CB8"/>
    <w:rsid w:val="001E473E"/>
    <w:rsid w:val="00233FB6"/>
    <w:rsid w:val="00241905"/>
    <w:rsid w:val="0028133A"/>
    <w:rsid w:val="00332C2C"/>
    <w:rsid w:val="00335AA7"/>
    <w:rsid w:val="00341829"/>
    <w:rsid w:val="003917E1"/>
    <w:rsid w:val="003E0263"/>
    <w:rsid w:val="003F6E07"/>
    <w:rsid w:val="004149C6"/>
    <w:rsid w:val="0049197A"/>
    <w:rsid w:val="004A0C55"/>
    <w:rsid w:val="004F0E3B"/>
    <w:rsid w:val="004F0FE3"/>
    <w:rsid w:val="005131DC"/>
    <w:rsid w:val="00522F65"/>
    <w:rsid w:val="00535E7B"/>
    <w:rsid w:val="00552944"/>
    <w:rsid w:val="0057181A"/>
    <w:rsid w:val="005B4CA6"/>
    <w:rsid w:val="005B71C6"/>
    <w:rsid w:val="006A2F8A"/>
    <w:rsid w:val="006B07D7"/>
    <w:rsid w:val="00736CE1"/>
    <w:rsid w:val="0074290D"/>
    <w:rsid w:val="007662A5"/>
    <w:rsid w:val="00780B54"/>
    <w:rsid w:val="00787DF6"/>
    <w:rsid w:val="00790188"/>
    <w:rsid w:val="007915C2"/>
    <w:rsid w:val="007A3B64"/>
    <w:rsid w:val="007B2CB4"/>
    <w:rsid w:val="007E1B49"/>
    <w:rsid w:val="00827A6B"/>
    <w:rsid w:val="008333D8"/>
    <w:rsid w:val="00883E66"/>
    <w:rsid w:val="008D05D2"/>
    <w:rsid w:val="008F7D48"/>
    <w:rsid w:val="00906DBB"/>
    <w:rsid w:val="00932A86"/>
    <w:rsid w:val="00945522"/>
    <w:rsid w:val="009556DA"/>
    <w:rsid w:val="00961243"/>
    <w:rsid w:val="00972D13"/>
    <w:rsid w:val="0098004F"/>
    <w:rsid w:val="009A25FC"/>
    <w:rsid w:val="009A5E6C"/>
    <w:rsid w:val="009B6D7D"/>
    <w:rsid w:val="009C4C2F"/>
    <w:rsid w:val="009C7DDC"/>
    <w:rsid w:val="00A212F7"/>
    <w:rsid w:val="00A45D61"/>
    <w:rsid w:val="00A634D9"/>
    <w:rsid w:val="00A663C6"/>
    <w:rsid w:val="00AB4583"/>
    <w:rsid w:val="00B03CA5"/>
    <w:rsid w:val="00B05CE4"/>
    <w:rsid w:val="00B06F6B"/>
    <w:rsid w:val="00B44D7B"/>
    <w:rsid w:val="00B505D7"/>
    <w:rsid w:val="00B73071"/>
    <w:rsid w:val="00B87D1C"/>
    <w:rsid w:val="00B94861"/>
    <w:rsid w:val="00BB39E3"/>
    <w:rsid w:val="00BD1A17"/>
    <w:rsid w:val="00C304F4"/>
    <w:rsid w:val="00C44555"/>
    <w:rsid w:val="00C604F8"/>
    <w:rsid w:val="00CA31CC"/>
    <w:rsid w:val="00CB33A1"/>
    <w:rsid w:val="00CE4D42"/>
    <w:rsid w:val="00D55EB5"/>
    <w:rsid w:val="00DA0AB4"/>
    <w:rsid w:val="00DA3199"/>
    <w:rsid w:val="00DB59B0"/>
    <w:rsid w:val="00DB7CF7"/>
    <w:rsid w:val="00DC17B3"/>
    <w:rsid w:val="00DE24FB"/>
    <w:rsid w:val="00E01577"/>
    <w:rsid w:val="00E86D25"/>
    <w:rsid w:val="00EA4B05"/>
    <w:rsid w:val="00EA52DD"/>
    <w:rsid w:val="00F14E24"/>
    <w:rsid w:val="00F8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100"/>
  <w15:docId w15:val="{2FDA5913-3472-4F1B-A766-72A112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AA7"/>
    <w:rPr>
      <w:sz w:val="24"/>
      <w:szCs w:val="24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C6"/>
    <w:pPr>
      <w:ind w:left="720"/>
      <w:contextualSpacing/>
    </w:pPr>
  </w:style>
  <w:style w:type="paragraph" w:styleId="Poprawka">
    <w:name w:val="Revision"/>
    <w:hidden/>
    <w:uiPriority w:val="99"/>
    <w:semiHidden/>
    <w:rsid w:val="00CA31CC"/>
    <w:rPr>
      <w:sz w:val="24"/>
      <w:szCs w:val="24"/>
      <w:lang w:val="uk-UA" w:eastAsia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CC"/>
    <w:rPr>
      <w:rFonts w:ascii="Tahoma" w:hAnsi="Tahoma" w:cs="Tahoma"/>
      <w:sz w:val="16"/>
      <w:szCs w:val="16"/>
      <w:lang w:val="uk-UA"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1CC"/>
    <w:rPr>
      <w:lang w:val="uk-UA"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1CC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F733-5A27-45B5-A892-D686E6D4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2192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ETI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Agnieszka</cp:lastModifiedBy>
  <cp:revision>7</cp:revision>
  <dcterms:created xsi:type="dcterms:W3CDTF">2018-11-29T12:37:00Z</dcterms:created>
  <dcterms:modified xsi:type="dcterms:W3CDTF">2018-11-29T12:50:00Z</dcterms:modified>
</cp:coreProperties>
</file>